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3D4C17F"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6B0DA9" w:rsidRPr="006B0DA9">
        <w:rPr>
          <w:bCs/>
          <w:noProof w:val="0"/>
          <w:sz w:val="24"/>
          <w:szCs w:val="24"/>
        </w:rPr>
        <w:t>R2-171</w:t>
      </w:r>
      <w:r w:rsidR="00A70EAE">
        <w:rPr>
          <w:bCs/>
          <w:noProof w:val="0"/>
          <w:sz w:val="24"/>
          <w:szCs w:val="24"/>
        </w:rPr>
        <w:t>3200</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4DCBD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41223" w:rsidRPr="00941223">
        <w:rPr>
          <w:rFonts w:cs="Arial"/>
          <w:b/>
          <w:bCs/>
          <w:sz w:val="24"/>
          <w:lang w:eastAsia="ja-JP"/>
        </w:rPr>
        <w:t>10.4.1.4.</w:t>
      </w:r>
      <w:r w:rsidR="00DD600E">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604B44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600E">
        <w:rPr>
          <w:rFonts w:ascii="Arial" w:hAnsi="Arial" w:cs="Arial"/>
          <w:b/>
          <w:bCs/>
          <w:sz w:val="24"/>
        </w:rPr>
        <w:t>Serving cell measurements and measurement gaps</w:t>
      </w:r>
      <w:r w:rsidR="00E4630E">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2F50719" w14:textId="77777777" w:rsidR="00E4630E" w:rsidRDefault="00E4630E" w:rsidP="00CD4C7B">
      <w:r>
        <w:t>In Berlin RAN2#99 following was decided regarding measurement configuration:</w:t>
      </w:r>
    </w:p>
    <w:p w14:paraId="44D44D6A"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w:t>
      </w:r>
    </w:p>
    <w:p w14:paraId="1FAAA79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1</w:t>
      </w:r>
      <w:r w:rsidRPr="00503D7F">
        <w:tab/>
        <w:t>There is one NR-ARFCN per MO</w:t>
      </w:r>
    </w:p>
    <w:p w14:paraId="70EB00CC"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028A88E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2</w:t>
      </w:r>
      <w:r w:rsidRPr="00503D7F">
        <w:tab/>
        <w:t>For measurements of carriers where SSB is not present (measurements performed on CSI-RS):</w:t>
      </w:r>
    </w:p>
    <w:p w14:paraId="17B1A91B"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i</w:t>
      </w:r>
      <w:r w:rsidRPr="00503D7F">
        <w:tab/>
        <w:t>MO includes CSI-RS resources for L3 mobility measurements; and</w:t>
      </w:r>
    </w:p>
    <w:p w14:paraId="15B13F57"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ii</w:t>
      </w:r>
      <w:r w:rsidRPr="00503D7F">
        <w:tab/>
        <w:t>MO includes some indication that no SSB is provided on this carrier.</w:t>
      </w:r>
    </w:p>
    <w:p w14:paraId="4BD79E82"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FFS Where the UE acquires timing reference for making measurements in this carrier. E.g. can UE assume timing reference from one of its serving carriers (for CA case), or does the MO include a pointer to another carrier with SSB for obtaining timing reference.</w:t>
      </w:r>
    </w:p>
    <w:p w14:paraId="29E8BA05"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60350EA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3</w:t>
      </w:r>
      <w:r w:rsidRPr="00503D7F">
        <w:tab/>
        <w:t>For measurements of carriers where SSB is present:</w:t>
      </w:r>
    </w:p>
    <w:p w14:paraId="6E802FC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b/>
        <w:t xml:space="preserve">If SSB is not located in the centre of the carrier, then offset to the ARFCN provides the location in frequency of the SSB within that carrier. </w:t>
      </w:r>
    </w:p>
    <w:p w14:paraId="46B4C81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FFS Whether the MO has only one SSB or whether the MO can include the location of more than one SSB.</w:t>
      </w:r>
    </w:p>
    <w:p w14:paraId="206D179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p>
    <w:p w14:paraId="142DB6CC"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 above relate to a single BWP in which case the NR ARFCN would be the centre of the BWP. Case of multiple BWPs is FFS</w:t>
      </w:r>
    </w:p>
    <w:p w14:paraId="38CA6E87" w14:textId="77777777" w:rsidR="00E4630E" w:rsidRPr="00503D7F" w:rsidRDefault="00E4630E" w:rsidP="00E4630E">
      <w:pPr>
        <w:pStyle w:val="Doc-text2"/>
      </w:pPr>
    </w:p>
    <w:p w14:paraId="48FEF048"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Agreements:</w:t>
      </w:r>
    </w:p>
    <w:p w14:paraId="7754DFAE"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1</w:t>
      </w:r>
      <w:r w:rsidRPr="00503D7F">
        <w:tab/>
        <w:t>Keep current principles where measurement results are collected per measurement ID and the VarMeasReportList lists information per measurement ID about measurements for which triggering conditions have been met.</w:t>
      </w:r>
    </w:p>
    <w:p w14:paraId="0E161B23"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2</w:t>
      </w:r>
      <w:r w:rsidRPr="00503D7F">
        <w:tab/>
        <w:t>Include whitecell list in NR measurement object and parameter usewhitecell list in reporting configuration (or at measurement ID level) as in LTE.</w:t>
      </w:r>
    </w:p>
    <w:p w14:paraId="011BCA30"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3</w:t>
      </w:r>
      <w:r w:rsidRPr="00503D7F">
        <w:tab/>
        <w:t>Include both frequency specific offset as well as cell specific offsets in MO. Offsets are for use in the event evaluation.</w:t>
      </w:r>
    </w:p>
    <w:p w14:paraId="222836F5"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FFS Whether it is possible to also include cell specific offsets within the reporting configuration.</w:t>
      </w:r>
    </w:p>
    <w:p w14:paraId="7BD10C39" w14:textId="77777777" w:rsidR="00E4630E" w:rsidRPr="00503D7F" w:rsidRDefault="00E4630E" w:rsidP="00E4630E">
      <w:pPr>
        <w:pStyle w:val="Doc-text2"/>
        <w:pBdr>
          <w:top w:val="single" w:sz="4" w:space="1" w:color="auto"/>
          <w:left w:val="single" w:sz="4" w:space="4" w:color="auto"/>
          <w:bottom w:val="single" w:sz="4" w:space="1" w:color="auto"/>
          <w:right w:val="single" w:sz="4" w:space="4" w:color="auto"/>
        </w:pBdr>
      </w:pPr>
      <w:r w:rsidRPr="00503D7F">
        <w:t>4</w:t>
      </w:r>
      <w:r w:rsidRPr="00503D7F">
        <w:tab/>
        <w:t>Autonomous changes to the measurement configuration are included in the spec only if necessary to avoid situations where the measurement configuration would be invalid following handover or re-establishment.</w:t>
      </w:r>
    </w:p>
    <w:p w14:paraId="1A90ECAC" w14:textId="446DC373" w:rsidR="00E4630E" w:rsidRDefault="00E4630E" w:rsidP="00CD4C7B"/>
    <w:p w14:paraId="41EFECFE" w14:textId="2C639A6D" w:rsidR="00100195" w:rsidRDefault="00100195" w:rsidP="00CD4C7B"/>
    <w:p w14:paraId="04280C63" w14:textId="74D34CF1" w:rsidR="00100195" w:rsidRDefault="00100195" w:rsidP="00CD4C7B">
      <w:r>
        <w:t>Additionally in RAN2#99bis:</w:t>
      </w:r>
    </w:p>
    <w:p w14:paraId="347165EE"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 for BWP operation in CONNECTED mode:</w:t>
      </w:r>
    </w:p>
    <w:p w14:paraId="7D601F58"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1:</w:t>
      </w:r>
      <w:r>
        <w:tab/>
        <w:t>BWP impacts on the CONNECTED mode will be progressed by Dec 17.  Impacts to IDLE mode/INACTIVE mode UEs will be discussed with SA after Dec 17.</w:t>
      </w:r>
    </w:p>
    <w:p w14:paraId="6B9F628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lastRenderedPageBreak/>
        <w:t>2a:</w:t>
      </w:r>
      <w:r>
        <w:tab/>
        <w:t xml:space="preserve">RRC signalling supports to configure 1 or more BWPs (both for DL BWP and UL BWP) for a serving cell (PCell, PSCell). </w:t>
      </w:r>
    </w:p>
    <w:p w14:paraId="5C940D71"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2b</w:t>
      </w:r>
      <w:r>
        <w:tab/>
      </w:r>
      <w:r w:rsidRPr="00522720">
        <w:t xml:space="preserve">RRC signalling supports to configure </w:t>
      </w:r>
      <w:r>
        <w:t>0, 1</w:t>
      </w:r>
      <w:r w:rsidRPr="00522720">
        <w:t xml:space="preserve"> or more BWPs (both for DL BWP and UL BWP) for a serving cell </w:t>
      </w:r>
      <w:r>
        <w:t>SCell (at least 1 DL BWP) (impact of SUL still to be discussed)</w:t>
      </w:r>
    </w:p>
    <w:p w14:paraId="36D482A4"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3</w:t>
      </w:r>
      <w:r>
        <w:tab/>
        <w:t>For a UE, the PCell, PSCell and each SCell has a single associated SSB in frequency (RAN1 terminology is the is the 'cell defining SSB')</w:t>
      </w:r>
    </w:p>
    <w:p w14:paraId="11A49836"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4</w:t>
      </w:r>
      <w:r>
        <w:tab/>
        <w:t>Cell defining SS block can be changed by synchronous reconfiguration for PCell/PSCell and SCell release/add for the SCell.</w:t>
      </w:r>
    </w:p>
    <w:p w14:paraId="726FFFCB"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5</w:t>
      </w:r>
      <w:r>
        <w:tab/>
        <w:t>Each SS block frequency which needs to be measured by the UE should be configured as individual measurement object (i.e. one measurement object corresponds to a single SS block frequency).</w:t>
      </w:r>
    </w:p>
    <w:p w14:paraId="4DB50715"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6</w:t>
      </w:r>
      <w:r>
        <w:tab/>
        <w:t>The cell defining SS block is considered as the time reference of the serving cell, and for RRM serving cell measurements based on SSB (irrespective of which BWP is activated).</w:t>
      </w:r>
    </w:p>
    <w:p w14:paraId="6E37AAC9" w14:textId="26A48394" w:rsidR="00100195" w:rsidRDefault="00100195" w:rsidP="00100195">
      <w:pPr>
        <w:pStyle w:val="Doc-text2"/>
        <w:ind w:left="0" w:firstLine="0"/>
      </w:pPr>
      <w:r>
        <w:t>And</w:t>
      </w:r>
    </w:p>
    <w:p w14:paraId="06ED4CD7" w14:textId="43CB064E" w:rsidR="00100195" w:rsidRDefault="00100195" w:rsidP="00100195">
      <w:pPr>
        <w:pStyle w:val="Doc-text2"/>
      </w:pPr>
      <w:r>
        <w:t>=&gt;</w:t>
      </w:r>
      <w:r>
        <w:tab/>
        <w:t>RRC timers and counters related to RLM are not reset when the active BWP is changed.</w:t>
      </w:r>
    </w:p>
    <w:p w14:paraId="5EBDB1E1" w14:textId="471B5AE7" w:rsidR="00100195" w:rsidRDefault="00100195" w:rsidP="00100195">
      <w:pPr>
        <w:pStyle w:val="Doc-text2"/>
      </w:pPr>
    </w:p>
    <w:p w14:paraId="361106C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w:t>
      </w:r>
    </w:p>
    <w:p w14:paraId="463E2702"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596B5755"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2:</w:t>
      </w:r>
      <w:r>
        <w:tab/>
        <w:t>In Rel-15, the only inter-RAT measurements that can be configured are E-UTRA measurements.</w:t>
      </w:r>
    </w:p>
    <w:p w14:paraId="06024F65"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3:</w:t>
      </w:r>
      <w:r>
        <w:tab/>
        <w:t>As in LTE, Measurement configuration is used for CGI reporting. The ASN.1 structure is FFS (after December).</w:t>
      </w:r>
    </w:p>
    <w:p w14:paraId="21AC7E4E"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71763B0B"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AllowInterruptions.</w:t>
      </w:r>
    </w:p>
    <w:p w14:paraId="5FC4047D"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7DED140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0B269B4D"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6320A087"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75BB46C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2C9794DE"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4E36C843"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26AD945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6C20E449"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44E2A913"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7F7B27BB" w14:textId="32B02CA4" w:rsidR="00100195" w:rsidRDefault="00100195" w:rsidP="00100195">
      <w:pPr>
        <w:pStyle w:val="Doc-text2"/>
      </w:pPr>
    </w:p>
    <w:p w14:paraId="2BAD6539" w14:textId="77777777" w:rsidR="00100195" w:rsidRDefault="00100195" w:rsidP="00100195">
      <w:pPr>
        <w:pStyle w:val="Doc-text2"/>
      </w:pPr>
    </w:p>
    <w:p w14:paraId="6B223C58"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w:t>
      </w:r>
    </w:p>
    <w:p w14:paraId="1B71EDDD"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 xml:space="preserve">1: </w:t>
      </w:r>
      <w:r>
        <w:tab/>
        <w:t>A single periodical measurement configuration can be configured to report SS based measured results or CSI-RS based measured results (not both).</w:t>
      </w:r>
    </w:p>
    <w:p w14:paraId="7CBEEE5B"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2</w:t>
      </w:r>
      <w:r>
        <w:tab/>
        <w:t>the UE is required to report all applicable cell up to maxCellReport for periodical measurement, where the applicable cells are defined as any neighbour cells detected on the associated frequency except for the cell in black cell list</w:t>
      </w:r>
    </w:p>
    <w:p w14:paraId="7BEAF3E6" w14:textId="7F9BA6A0" w:rsidR="00100195" w:rsidRDefault="00100195" w:rsidP="00100195">
      <w:pPr>
        <w:pStyle w:val="Doc-text2"/>
      </w:pPr>
    </w:p>
    <w:p w14:paraId="115453DF" w14:textId="77777777" w:rsidR="00100195" w:rsidRDefault="00100195" w:rsidP="00100195">
      <w:pPr>
        <w:pStyle w:val="Doc-text2"/>
      </w:pPr>
    </w:p>
    <w:p w14:paraId="3850D332"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w:t>
      </w:r>
    </w:p>
    <w:p w14:paraId="0FC2F305"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1</w:t>
      </w:r>
      <w:r>
        <w:tab/>
        <w:t>The beam level information (beam IDs and/or available measurements results) of PCell/PSCell and SCell is included in the measurement report if the network has configured the UE to do so.</w:t>
      </w:r>
    </w:p>
    <w:p w14:paraId="693BC13E" w14:textId="0B74A48D" w:rsidR="00100195" w:rsidRDefault="00100195" w:rsidP="00CD4C7B"/>
    <w:p w14:paraId="76278EF4"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w:t>
      </w:r>
    </w:p>
    <w:p w14:paraId="66A40B44"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1</w:t>
      </w:r>
      <w:r>
        <w:tab/>
        <w:t>An MO is provided to the UE for all carriers on which measurements are to be performed (as in LTE)</w:t>
      </w:r>
    </w:p>
    <w:p w14:paraId="3E512DCF"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2</w:t>
      </w:r>
      <w:r>
        <w:tab/>
        <w:t xml:space="preserve">The following text is clarification of </w:t>
      </w:r>
      <w:r w:rsidRPr="00F22195">
        <w:t>agreement 6 from discussion of R2-1711963</w:t>
      </w:r>
    </w:p>
    <w:p w14:paraId="4B572C93"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lastRenderedPageBreak/>
        <w:t>-</w:t>
      </w:r>
      <w:r>
        <w:tab/>
        <w:t>The information provided in reportConfig(s) is used to derive serving cell measurements;</w:t>
      </w:r>
    </w:p>
    <w:p w14:paraId="6A55DD17"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w:t>
      </w:r>
      <w:r>
        <w:tab/>
        <w:t>UE derives what to measure for serving cells using the RS type(s) as identified in the different reportConfig(s);</w:t>
      </w:r>
    </w:p>
    <w:p w14:paraId="7B0FA573"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w:t>
      </w:r>
      <w:r>
        <w:tab/>
        <w:t>UE performs serving cell measurements, even if a serving frequency MO is not linked to any reportConfig/measID;</w:t>
      </w:r>
    </w:p>
    <w:p w14:paraId="224B34C6"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w:t>
      </w:r>
      <w:r>
        <w:tab/>
        <w:t>As in LTE, UE performs serving cell measurements for all serving frequencies for all measurement quantities (RSRP and RSRQ. FFS SINR);</w:t>
      </w:r>
    </w:p>
    <w:p w14:paraId="3A345D7B"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w:t>
      </w:r>
      <w:r>
        <w:tab/>
        <w:t>If a measurement report is triggered, associated to any measurement ID, the UE includes all available measurement results for PCell and configured SCells.</w:t>
      </w:r>
    </w:p>
    <w:p w14:paraId="14D979EF" w14:textId="0EB18B4A" w:rsidR="00100195" w:rsidRDefault="00100195" w:rsidP="00CD4C7B"/>
    <w:p w14:paraId="4BE5A9EC"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Agreements</w:t>
      </w:r>
    </w:p>
    <w:p w14:paraId="44B4A26B"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1 cellIndividualOffset in MO is enough, no need for the cell offset in report configuration.</w:t>
      </w:r>
    </w:p>
    <w:p w14:paraId="60C7BAFC"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p>
    <w:p w14:paraId="695D46C3" w14:textId="77777777" w:rsidR="00100195" w:rsidRDefault="00100195" w:rsidP="00100195">
      <w:pPr>
        <w:pStyle w:val="Doc-text2"/>
        <w:pBdr>
          <w:top w:val="single" w:sz="4" w:space="1" w:color="auto"/>
          <w:left w:val="single" w:sz="4" w:space="4" w:color="auto"/>
          <w:bottom w:val="single" w:sz="4" w:space="1" w:color="auto"/>
          <w:right w:val="single" w:sz="4" w:space="4" w:color="auto"/>
        </w:pBdr>
      </w:pPr>
      <w:r>
        <w:t>FFS How MO can be used in the case of a location of the SSB is distant in frequency from the CSI-RS resources to be measures. (e.g. is it possible to configure an MO with no SSB and to reference another MO for the SSB that provides timing reference, or SSB configuration is provided in every MO, etc)</w:t>
      </w:r>
    </w:p>
    <w:p w14:paraId="4C3943AA" w14:textId="3569DE3C" w:rsidR="00100195" w:rsidRDefault="00100195" w:rsidP="00CD4C7B">
      <w:r>
        <w:t>And</w:t>
      </w:r>
    </w:p>
    <w:p w14:paraId="6C591277" w14:textId="77777777" w:rsidR="00100195" w:rsidRDefault="00100195" w:rsidP="00100195">
      <w:pPr>
        <w:pStyle w:val="Doc-text2"/>
      </w:pPr>
      <w:r>
        <w:t>=&gt;</w:t>
      </w:r>
      <w:r>
        <w:tab/>
        <w:t>We will revisit decision on MO containing a centre frequency plus offset to locate the SSB frequency when RAN4 has concluded discussion of the measurement raster.</w:t>
      </w:r>
    </w:p>
    <w:p w14:paraId="3026491B" w14:textId="77777777" w:rsidR="00100195" w:rsidRPr="0048477C" w:rsidRDefault="00100195" w:rsidP="00100195">
      <w:pPr>
        <w:pStyle w:val="Doc-text2"/>
      </w:pPr>
    </w:p>
    <w:p w14:paraId="0BBDFC0A" w14:textId="233D5A32" w:rsidR="00CD4C7B" w:rsidRPr="006E13D1" w:rsidRDefault="00E4630E" w:rsidP="00CD4C7B">
      <w:r>
        <w:t xml:space="preserve">In this paper we discuss FFS and agreements </w:t>
      </w:r>
      <w:r w:rsidR="00100195">
        <w:t xml:space="preserve">as well as trying to see how these agreements would be seen from specification implementation point of view. </w:t>
      </w:r>
    </w:p>
    <w:p w14:paraId="104229C6" w14:textId="333C4718" w:rsidR="00D33E2F" w:rsidRDefault="00D33E2F" w:rsidP="00CD4C7B">
      <w:pPr>
        <w:pStyle w:val="Heading1"/>
      </w:pPr>
      <w:r>
        <w:t>2</w:t>
      </w:r>
      <w:r>
        <w:tab/>
        <w:t>Serving Cell Measurements</w:t>
      </w:r>
    </w:p>
    <w:p w14:paraId="2A8023EF" w14:textId="4A2C15D2" w:rsidR="00D33E2F" w:rsidRDefault="00D33E2F" w:rsidP="00D33E2F">
      <w:r>
        <w:t xml:space="preserve">So practically based on above agreemeents serving cell measurements </w:t>
      </w:r>
      <w:r w:rsidR="0078200E">
        <w:t xml:space="preserve">on SS-Block </w:t>
      </w:r>
      <w:r>
        <w:t>are always done based on cell defining SSB (CD-SSB) regardless of which BWP is active. So it is possible that in order for UE to measure serving cell measurements in CONNECTED mode UE needs to be provide measurement gaps as the active BWP may not collocate in frequency with the CD-SSB.</w:t>
      </w:r>
    </w:p>
    <w:p w14:paraId="00F46BC0" w14:textId="36A65A35" w:rsidR="00D33E2F" w:rsidRDefault="00D33E2F" w:rsidP="00D33E2F">
      <w:r>
        <w:rPr>
          <w:b/>
        </w:rPr>
        <w:t xml:space="preserve">Observation: </w:t>
      </w:r>
      <w:r>
        <w:t>In order to perform serving cell measurements UE may need to be provided measurement gaps depending on active BWP</w:t>
      </w:r>
    </w:p>
    <w:p w14:paraId="26DF81F7" w14:textId="1328003C" w:rsidR="00D33E2F" w:rsidRDefault="00D33E2F" w:rsidP="00D33E2F">
      <w:r>
        <w:t>As the active BWP may change with DCI command there is no way to align this with new RRC signalling to activate measurement gaps i.e. whenever DCI command is used to change active BWP also measurement gaps configuration of UE may need to change.</w:t>
      </w:r>
    </w:p>
    <w:p w14:paraId="2FF51E8A" w14:textId="06AA9F5D" w:rsidR="00D33E2F" w:rsidRDefault="00D33E2F" w:rsidP="00D33E2F">
      <w:r>
        <w:rPr>
          <w:b/>
        </w:rPr>
        <w:t xml:space="preserve">Observation: </w:t>
      </w:r>
      <w:r>
        <w:t xml:space="preserve">Whenever active BWP changes measurement gap configuration may </w:t>
      </w:r>
      <w:r w:rsidR="00882C30">
        <w:t>need to be modified</w:t>
      </w:r>
    </w:p>
    <w:p w14:paraId="2B8FACE2" w14:textId="7C0704A9" w:rsidR="00882C30" w:rsidRDefault="00882C30" w:rsidP="00D33E2F">
      <w:r>
        <w:t>Easiest solution would be to assume that measurement gaps</w:t>
      </w:r>
      <w:r w:rsidR="00986ED5">
        <w:t xml:space="preserve"> needed by UE</w:t>
      </w:r>
      <w:r>
        <w:t xml:space="preserve"> do not change irrespective of active BWP. This could be achieved so that UE is always configured with measurement gaps if any of configured BWP becoming active BWP would result in measurement gap requirement.</w:t>
      </w:r>
    </w:p>
    <w:p w14:paraId="0D0DD893" w14:textId="7186063A" w:rsidR="00882C30" w:rsidRDefault="00882C30" w:rsidP="00D33E2F">
      <w:r>
        <w:t>Of course this would be suboptimal in case active BWP reception would allow to measure serving cell measure</w:t>
      </w:r>
      <w:r w:rsidR="003B1B5C">
        <w:t>ments without measurement gaps.</w:t>
      </w:r>
    </w:p>
    <w:p w14:paraId="39D9E7AB" w14:textId="156F559D" w:rsidR="00B50A83" w:rsidRDefault="00B50A83" w:rsidP="00D33E2F">
      <w:r>
        <w:t xml:space="preserve">Additionally for measurements which require measurement gaps naturally measurement performance would be degraded as UE would only be able to receive serving cell measurement RS </w:t>
      </w:r>
      <w:r w:rsidR="008940D4">
        <w:t xml:space="preserve">more </w:t>
      </w:r>
      <w:r>
        <w:t>seldomly</w:t>
      </w:r>
      <w:r w:rsidR="001A2E39">
        <w:t xml:space="preserve"> i.e. as often as there is measurement gaps. </w:t>
      </w:r>
      <w:r w:rsidR="00783321">
        <w:t>Additionally,</w:t>
      </w:r>
      <w:r w:rsidR="001A2E39">
        <w:t xml:space="preserve"> it is likely that same gaps are shared by other inter-frequency measurements which would additionally degrade serving cell measurement performance</w:t>
      </w:r>
      <w:r>
        <w:t xml:space="preserve">. </w:t>
      </w:r>
    </w:p>
    <w:p w14:paraId="709F5C69" w14:textId="2F571232" w:rsidR="00882C30" w:rsidRDefault="00882C30" w:rsidP="00D33E2F">
      <w:r>
        <w:rPr>
          <w:b/>
        </w:rPr>
        <w:t xml:space="preserve">Observation: </w:t>
      </w:r>
      <w:r w:rsidR="004B533C">
        <w:t xml:space="preserve">If NW configures UE with measurement gaps always </w:t>
      </w:r>
      <w:r>
        <w:t xml:space="preserve">if any of configured BWP becoming active BWP would result in </w:t>
      </w:r>
      <w:r w:rsidR="00BA6DFF">
        <w:t xml:space="preserve">UE needing </w:t>
      </w:r>
      <w:r>
        <w:t>measurement gap, would prevent NW to change RRC configuration whenever active BWP c</w:t>
      </w:r>
      <w:r w:rsidR="00B4517F">
        <w:t>hanges</w:t>
      </w:r>
      <w:r w:rsidR="00C1668B">
        <w:t>.</w:t>
      </w:r>
    </w:p>
    <w:p w14:paraId="4896FE8B" w14:textId="184DE4AB" w:rsidR="00D33E2F" w:rsidRDefault="00783321" w:rsidP="00D33E2F">
      <w:r>
        <w:t>Alternatively,</w:t>
      </w:r>
      <w:r w:rsidR="006B7912">
        <w:t xml:space="preserve"> one could prevent DCI command changing active BWP if it would result in any changes in </w:t>
      </w:r>
      <w:r w:rsidR="00344BCB">
        <w:t>measurement gap</w:t>
      </w:r>
      <w:r w:rsidR="006B7912">
        <w:t xml:space="preserve"> configuration.</w:t>
      </w:r>
      <w:r>
        <w:t xml:space="preserve"> This would of course limit DCI command applicability for some scenarios</w:t>
      </w:r>
      <w:r w:rsidR="00A32887">
        <w:t>.</w:t>
      </w:r>
    </w:p>
    <w:p w14:paraId="01B5013F" w14:textId="3AD8C463" w:rsidR="006B7912" w:rsidRDefault="006B7912" w:rsidP="00D33E2F">
      <w:r>
        <w:rPr>
          <w:b/>
        </w:rPr>
        <w:t xml:space="preserve">Observation: </w:t>
      </w:r>
      <w:r>
        <w:t xml:space="preserve">Another option to prevent changes to measurement gaps is to disallow network to change active BWP with DCI command if it would result requirements to change </w:t>
      </w:r>
      <w:r w:rsidR="00344BCB">
        <w:t>measurement gap</w:t>
      </w:r>
      <w:r>
        <w:t xml:space="preserve"> configuration.</w:t>
      </w:r>
    </w:p>
    <w:p w14:paraId="70156C92" w14:textId="294F4C1D" w:rsidR="005A5F0D" w:rsidRDefault="00FA5B8F" w:rsidP="00D33E2F">
      <w:r>
        <w:lastRenderedPageBreak/>
        <w:t>Similarly,</w:t>
      </w:r>
      <w:r w:rsidR="005A5F0D">
        <w:t xml:space="preserve"> one could disallow NW to configure such a BWP whose activation would result in need to change measurement gap configuration.</w:t>
      </w:r>
    </w:p>
    <w:p w14:paraId="5A3FDFF8" w14:textId="027DF7A1" w:rsidR="005A5F0D" w:rsidRDefault="005A5F0D" w:rsidP="005A5F0D">
      <w:r>
        <w:rPr>
          <w:b/>
        </w:rPr>
        <w:t xml:space="preserve">Observation: </w:t>
      </w:r>
      <w:r>
        <w:t>Another option to prevent changes to measurement gaps is to disallow network to configure BWPs whose activation would result requirements to change measurement gap configuration.</w:t>
      </w:r>
    </w:p>
    <w:p w14:paraId="724B613F" w14:textId="5C264FDD" w:rsidR="00D33E2F" w:rsidRDefault="00FA5B8F" w:rsidP="00D33E2F">
      <w:r>
        <w:t>Another</w:t>
      </w:r>
      <w:r w:rsidR="00B8630A">
        <w:t xml:space="preserve"> alternative would be to change RAN2 decision on doing serving cell measurements always on CD-SSB. Instead one would </w:t>
      </w:r>
      <w:r w:rsidR="00783321">
        <w:t>require</w:t>
      </w:r>
      <w:r w:rsidR="00B8630A">
        <w:t xml:space="preserve"> NW to configure measurement object that is collocated with any configured BWP and then doing serving cell measurements on measurement object that collocates with BWP.</w:t>
      </w:r>
    </w:p>
    <w:p w14:paraId="1793916E" w14:textId="1183EC0C" w:rsidR="009D5D3D" w:rsidRDefault="009D5D3D" w:rsidP="00D33E2F">
      <w:r>
        <w:rPr>
          <w:b/>
        </w:rPr>
        <w:t xml:space="preserve">Observation: </w:t>
      </w:r>
      <w:r>
        <w:t xml:space="preserve">If NW configures always measurement object collocating with BWP and serving cell measurements would be done on that there would not be </w:t>
      </w:r>
      <w:r w:rsidR="00783321">
        <w:t>needed</w:t>
      </w:r>
      <w:r>
        <w:t xml:space="preserve"> to have measurement gaps for serving cell measurements.</w:t>
      </w:r>
    </w:p>
    <w:p w14:paraId="1CBF9442" w14:textId="2DE46C6A" w:rsidR="00344BCB" w:rsidRDefault="00365407" w:rsidP="00D33E2F">
      <w:r>
        <w:t>So at least we have following options to handle serving cell measurements</w:t>
      </w:r>
      <w:r w:rsidR="005D64CD">
        <w:t xml:space="preserve"> without impacting the need to have measurement gaps after getting DCI command to activate different BWP</w:t>
      </w:r>
      <w:r>
        <w:t>:</w:t>
      </w:r>
    </w:p>
    <w:tbl>
      <w:tblPr>
        <w:tblStyle w:val="TableGrid"/>
        <w:tblW w:w="0" w:type="auto"/>
        <w:tblLook w:val="04A0" w:firstRow="1" w:lastRow="0" w:firstColumn="1" w:lastColumn="0" w:noHBand="0" w:noVBand="1"/>
      </w:tblPr>
      <w:tblGrid>
        <w:gridCol w:w="421"/>
        <w:gridCol w:w="3811"/>
        <w:gridCol w:w="2699"/>
        <w:gridCol w:w="2700"/>
      </w:tblGrid>
      <w:tr w:rsidR="00CB26C4" w14:paraId="48A34615" w14:textId="77777777" w:rsidTr="00CB26C4">
        <w:tc>
          <w:tcPr>
            <w:tcW w:w="421" w:type="dxa"/>
          </w:tcPr>
          <w:p w14:paraId="7864DBF2" w14:textId="311D4E0E" w:rsidR="00CB26C4" w:rsidRDefault="00CB26C4" w:rsidP="00D33E2F">
            <w:r>
              <w:t>#</w:t>
            </w:r>
          </w:p>
        </w:tc>
        <w:tc>
          <w:tcPr>
            <w:tcW w:w="3811" w:type="dxa"/>
          </w:tcPr>
          <w:p w14:paraId="5C83F887" w14:textId="7E901439" w:rsidR="00CB26C4" w:rsidRDefault="00CB26C4" w:rsidP="00D33E2F">
            <w:r>
              <w:t>Solution</w:t>
            </w:r>
          </w:p>
        </w:tc>
        <w:tc>
          <w:tcPr>
            <w:tcW w:w="2699" w:type="dxa"/>
          </w:tcPr>
          <w:p w14:paraId="4DE22790" w14:textId="66D9C90E" w:rsidR="00CB26C4" w:rsidRDefault="00CB26C4" w:rsidP="00D33E2F">
            <w:r>
              <w:t xml:space="preserve">Pros </w:t>
            </w:r>
          </w:p>
        </w:tc>
        <w:tc>
          <w:tcPr>
            <w:tcW w:w="2700" w:type="dxa"/>
          </w:tcPr>
          <w:p w14:paraId="781494F4" w14:textId="2BFD38B5" w:rsidR="00CB26C4" w:rsidRDefault="00CB26C4" w:rsidP="00D33E2F">
            <w:r>
              <w:t>Cons</w:t>
            </w:r>
          </w:p>
        </w:tc>
      </w:tr>
      <w:tr w:rsidR="00CB26C4" w14:paraId="58A25FC1" w14:textId="77777777" w:rsidTr="00CB26C4">
        <w:tc>
          <w:tcPr>
            <w:tcW w:w="421" w:type="dxa"/>
          </w:tcPr>
          <w:p w14:paraId="2A72DFBD" w14:textId="4BCA15AD" w:rsidR="00CB26C4" w:rsidRDefault="00CB26C4" w:rsidP="00D33E2F">
            <w:r>
              <w:t>1</w:t>
            </w:r>
          </w:p>
        </w:tc>
        <w:tc>
          <w:tcPr>
            <w:tcW w:w="3811" w:type="dxa"/>
          </w:tcPr>
          <w:p w14:paraId="3AC46DC5" w14:textId="4E8296AA" w:rsidR="00CB26C4" w:rsidRDefault="00CB26C4" w:rsidP="00D33E2F">
            <w:r>
              <w:t>Always configure measurement gap for serving cell measurement if any configured BWP would require gaps to do the serving cell measurements</w:t>
            </w:r>
          </w:p>
        </w:tc>
        <w:tc>
          <w:tcPr>
            <w:tcW w:w="2699" w:type="dxa"/>
          </w:tcPr>
          <w:p w14:paraId="1CB3E5C0" w14:textId="7433BF94" w:rsidR="00CB26C4" w:rsidRDefault="00CB26C4" w:rsidP="00FE7C90">
            <w:pPr>
              <w:pStyle w:val="ListParagraph"/>
              <w:numPr>
                <w:ilvl w:val="0"/>
                <w:numId w:val="10"/>
              </w:numPr>
            </w:pPr>
            <w:r>
              <w:t>Simple from RAN2 point of view</w:t>
            </w:r>
          </w:p>
        </w:tc>
        <w:tc>
          <w:tcPr>
            <w:tcW w:w="2700" w:type="dxa"/>
          </w:tcPr>
          <w:p w14:paraId="0D825D51" w14:textId="77777777" w:rsidR="00CB26C4" w:rsidRDefault="00CB26C4" w:rsidP="00FE7C90">
            <w:pPr>
              <w:pStyle w:val="ListParagraph"/>
              <w:numPr>
                <w:ilvl w:val="0"/>
                <w:numId w:val="10"/>
              </w:numPr>
            </w:pPr>
            <w:r>
              <w:t>Measurement performance degradation of serving cell measurements</w:t>
            </w:r>
          </w:p>
          <w:p w14:paraId="3C81BFA8" w14:textId="11BF1C10" w:rsidR="00CB26C4" w:rsidRDefault="00CB26C4" w:rsidP="00FE7C90">
            <w:pPr>
              <w:pStyle w:val="ListParagraph"/>
              <w:numPr>
                <w:ilvl w:val="0"/>
                <w:numId w:val="10"/>
              </w:numPr>
            </w:pPr>
            <w:r>
              <w:t>Missed scheduling opportunities</w:t>
            </w:r>
          </w:p>
        </w:tc>
      </w:tr>
      <w:tr w:rsidR="00CB26C4" w14:paraId="6A13E3F1" w14:textId="77777777" w:rsidTr="00CB26C4">
        <w:tc>
          <w:tcPr>
            <w:tcW w:w="421" w:type="dxa"/>
          </w:tcPr>
          <w:p w14:paraId="16661639" w14:textId="22AE5E9F" w:rsidR="00CB26C4" w:rsidRDefault="00CB26C4" w:rsidP="00D33E2F">
            <w:r>
              <w:t>2</w:t>
            </w:r>
          </w:p>
        </w:tc>
        <w:tc>
          <w:tcPr>
            <w:tcW w:w="3811" w:type="dxa"/>
          </w:tcPr>
          <w:p w14:paraId="68405324" w14:textId="13FE1B32" w:rsidR="00CB26C4" w:rsidRDefault="00CB26C4" w:rsidP="00D33E2F">
            <w:r>
              <w:t>NW would not be allowed to change BWP with DCI command if it would result in changes to measurement gap configuration</w:t>
            </w:r>
          </w:p>
        </w:tc>
        <w:tc>
          <w:tcPr>
            <w:tcW w:w="2699" w:type="dxa"/>
          </w:tcPr>
          <w:p w14:paraId="2444F6AA" w14:textId="77777777" w:rsidR="00CB26C4" w:rsidRDefault="00CB26C4" w:rsidP="00FE7C90">
            <w:pPr>
              <w:pStyle w:val="ListParagraph"/>
              <w:numPr>
                <w:ilvl w:val="0"/>
                <w:numId w:val="10"/>
              </w:numPr>
            </w:pPr>
            <w:r>
              <w:t xml:space="preserve">Simple from RAN2 point of view </w:t>
            </w:r>
          </w:p>
          <w:p w14:paraId="1E65462C" w14:textId="2121AF0B" w:rsidR="00CB26C4" w:rsidRDefault="00CB26C4" w:rsidP="00FE7C90">
            <w:pPr>
              <w:pStyle w:val="ListParagraph"/>
              <w:numPr>
                <w:ilvl w:val="0"/>
                <w:numId w:val="10"/>
              </w:numPr>
            </w:pPr>
            <w:r>
              <w:t>Measurement performance is good for serving cell measurements</w:t>
            </w:r>
          </w:p>
          <w:p w14:paraId="06C278BA" w14:textId="5E668766" w:rsidR="00CB26C4" w:rsidRDefault="00CB26C4" w:rsidP="00FE7C90">
            <w:pPr>
              <w:pStyle w:val="ListParagraph"/>
              <w:numPr>
                <w:ilvl w:val="0"/>
                <w:numId w:val="11"/>
              </w:numPr>
            </w:pPr>
          </w:p>
        </w:tc>
        <w:tc>
          <w:tcPr>
            <w:tcW w:w="2700" w:type="dxa"/>
          </w:tcPr>
          <w:p w14:paraId="6D9E3994" w14:textId="3004B7DC" w:rsidR="00CB26C4" w:rsidRDefault="00CB26C4" w:rsidP="00FE7C90">
            <w:pPr>
              <w:pStyle w:val="ListParagraph"/>
              <w:numPr>
                <w:ilvl w:val="0"/>
                <w:numId w:val="10"/>
              </w:numPr>
            </w:pPr>
            <w:r>
              <w:t>Limiting use cases for BWP</w:t>
            </w:r>
            <w:r w:rsidR="0078200E">
              <w:t xml:space="preserve"> (basically wider/narrower BWP use case would be allowed but not ones that are non collocated)</w:t>
            </w:r>
          </w:p>
        </w:tc>
      </w:tr>
      <w:tr w:rsidR="00CB26C4" w14:paraId="250F53AF" w14:textId="77777777" w:rsidTr="00CB26C4">
        <w:tc>
          <w:tcPr>
            <w:tcW w:w="421" w:type="dxa"/>
          </w:tcPr>
          <w:p w14:paraId="77F74226" w14:textId="1670CC43" w:rsidR="00CB26C4" w:rsidRDefault="00CB26C4" w:rsidP="0069213B">
            <w:r>
              <w:t>3</w:t>
            </w:r>
          </w:p>
        </w:tc>
        <w:tc>
          <w:tcPr>
            <w:tcW w:w="3811" w:type="dxa"/>
          </w:tcPr>
          <w:p w14:paraId="769AEB94" w14:textId="656F4001" w:rsidR="00CB26C4" w:rsidRDefault="00CB26C4" w:rsidP="0069213B">
            <w:r>
              <w:t>NW is not allowed to configure BWPs whose activation would require changes to measurement gap configuration</w:t>
            </w:r>
          </w:p>
        </w:tc>
        <w:tc>
          <w:tcPr>
            <w:tcW w:w="2699" w:type="dxa"/>
          </w:tcPr>
          <w:p w14:paraId="1EF3CF3A" w14:textId="77777777" w:rsidR="00CB26C4" w:rsidRDefault="00CB26C4" w:rsidP="00DC2802">
            <w:pPr>
              <w:pStyle w:val="ListParagraph"/>
              <w:numPr>
                <w:ilvl w:val="0"/>
                <w:numId w:val="10"/>
              </w:numPr>
            </w:pPr>
            <w:r>
              <w:t>Simple from RAN2 point of view</w:t>
            </w:r>
          </w:p>
          <w:p w14:paraId="02C063BE" w14:textId="27F28C0E" w:rsidR="00CB26C4" w:rsidRDefault="00CB26C4" w:rsidP="00DC2802">
            <w:pPr>
              <w:pStyle w:val="ListParagraph"/>
              <w:numPr>
                <w:ilvl w:val="0"/>
                <w:numId w:val="10"/>
              </w:numPr>
            </w:pPr>
            <w:r>
              <w:t>Measurement performance is good for serving cell measurements</w:t>
            </w:r>
          </w:p>
        </w:tc>
        <w:tc>
          <w:tcPr>
            <w:tcW w:w="2700" w:type="dxa"/>
          </w:tcPr>
          <w:p w14:paraId="29BF2586" w14:textId="6E55835D" w:rsidR="00CB26C4" w:rsidRDefault="00CB26C4" w:rsidP="0069213B">
            <w:pPr>
              <w:pStyle w:val="ListParagraph"/>
              <w:numPr>
                <w:ilvl w:val="0"/>
                <w:numId w:val="10"/>
              </w:numPr>
            </w:pPr>
            <w:r>
              <w:t>Limiting use cases for BWP</w:t>
            </w:r>
            <w:r w:rsidR="0078200E">
              <w:t xml:space="preserve"> (basically wider/narrower BWP use case would be allowed but not ones that are non collocated)</w:t>
            </w:r>
          </w:p>
        </w:tc>
      </w:tr>
      <w:tr w:rsidR="00CB26C4" w14:paraId="2C0D52F7" w14:textId="77777777" w:rsidTr="00CB26C4">
        <w:tc>
          <w:tcPr>
            <w:tcW w:w="421" w:type="dxa"/>
          </w:tcPr>
          <w:p w14:paraId="2F4F1ADC" w14:textId="4868F9BD" w:rsidR="00CB26C4" w:rsidRDefault="00CB26C4" w:rsidP="00D33E2F">
            <w:r>
              <w:t>4</w:t>
            </w:r>
          </w:p>
        </w:tc>
        <w:tc>
          <w:tcPr>
            <w:tcW w:w="3811" w:type="dxa"/>
          </w:tcPr>
          <w:p w14:paraId="181C7416" w14:textId="63B19933" w:rsidR="00CB26C4" w:rsidRDefault="00CB26C4" w:rsidP="00D33E2F">
            <w:r>
              <w:t>BWP is configured with collocated MO and serving cell measurements are done on that MO</w:t>
            </w:r>
          </w:p>
        </w:tc>
        <w:tc>
          <w:tcPr>
            <w:tcW w:w="2699" w:type="dxa"/>
          </w:tcPr>
          <w:p w14:paraId="56AB566C" w14:textId="77777777" w:rsidR="00CB26C4" w:rsidRDefault="00CB26C4" w:rsidP="00FE7C90">
            <w:pPr>
              <w:pStyle w:val="ListParagraph"/>
              <w:numPr>
                <w:ilvl w:val="0"/>
                <w:numId w:val="10"/>
              </w:numPr>
            </w:pPr>
            <w:r>
              <w:t>Serving cell measurements always done without measurement gaps</w:t>
            </w:r>
          </w:p>
          <w:p w14:paraId="169E3A2D" w14:textId="1CAED10D" w:rsidR="00CB26C4" w:rsidRDefault="00CB26C4" w:rsidP="00FE7C90">
            <w:pPr>
              <w:pStyle w:val="ListParagraph"/>
              <w:numPr>
                <w:ilvl w:val="0"/>
                <w:numId w:val="10"/>
              </w:numPr>
            </w:pPr>
            <w:r>
              <w:t xml:space="preserve">Measurement performance is good for serving cell measurements </w:t>
            </w:r>
          </w:p>
        </w:tc>
        <w:tc>
          <w:tcPr>
            <w:tcW w:w="2700" w:type="dxa"/>
          </w:tcPr>
          <w:p w14:paraId="4F2A7D14" w14:textId="7B1F9138" w:rsidR="00CB26C4" w:rsidRDefault="00CB26C4" w:rsidP="00FE7C90">
            <w:pPr>
              <w:pStyle w:val="ListParagraph"/>
              <w:numPr>
                <w:ilvl w:val="0"/>
                <w:numId w:val="10"/>
              </w:numPr>
            </w:pPr>
            <w:r>
              <w:t>changes RAN2 decision on doing serving cell measurements</w:t>
            </w:r>
            <w:r w:rsidR="0078200E">
              <w:t xml:space="preserve"> always</w:t>
            </w:r>
            <w:r>
              <w:t xml:space="preserve"> on CD-SSB</w:t>
            </w:r>
          </w:p>
        </w:tc>
      </w:tr>
    </w:tbl>
    <w:p w14:paraId="34B79500" w14:textId="15CB4FE8" w:rsidR="00365407" w:rsidRDefault="00365407" w:rsidP="00D33E2F"/>
    <w:p w14:paraId="33C522E4" w14:textId="7D2CBCFF" w:rsidR="0043015E" w:rsidRDefault="000B5F8C" w:rsidP="00D33E2F">
      <w:r>
        <w:t>So s</w:t>
      </w:r>
      <w:r w:rsidR="00CB26C4">
        <w:t xml:space="preserve">olution </w:t>
      </w:r>
      <w:r>
        <w:t xml:space="preserve">2&amp;3 would limit BWP usage to basically cases when BWP bandwidth is reduced i.e. UE power consumption use case. Solution 1 on the other hand would make serving cell measurement performance suboptimal as well as require unnecessary gaps in many scenarios. In our view for efficient BWP operation in NR solution 4 is clearly the best but also causes change to RAN2 decision and most and will cause impacts to ASN.1 as well. But if we want BWP to be usable in real life scenarios it should be enabled for NW to configure BWP with collocated MO (already possible) and enable serving cell measurements to be done on that MO. </w:t>
      </w:r>
    </w:p>
    <w:p w14:paraId="14D27CC7" w14:textId="525A2AB0" w:rsidR="000B5F8C" w:rsidRDefault="000B5F8C" w:rsidP="00D33E2F">
      <w:r>
        <w:rPr>
          <w:b/>
        </w:rPr>
        <w:t>Proposal</w:t>
      </w:r>
      <w:r w:rsidR="00F2534A">
        <w:rPr>
          <w:b/>
        </w:rPr>
        <w:t xml:space="preserve"> 1</w:t>
      </w:r>
      <w:r>
        <w:rPr>
          <w:b/>
        </w:rPr>
        <w:t xml:space="preserve">: </w:t>
      </w:r>
      <w:r>
        <w:t>Enable serving cell measurements to be done on reference symbols collocated with active BWP</w:t>
      </w:r>
    </w:p>
    <w:p w14:paraId="31D7CCB0" w14:textId="4012FC8A" w:rsidR="000B5F8C" w:rsidRDefault="000B5F8C" w:rsidP="00D33E2F">
      <w:r>
        <w:t xml:space="preserve">In following we consider what kind of impacts this would require. So with current RAN2 agreements UE does all the serving cell measurement on CD-SSB and there is requirement for NW to configure MO for this SSB. Currently it is </w:t>
      </w:r>
      <w:r>
        <w:lastRenderedPageBreak/>
        <w:t>possible also for NW to configure different MO that is collocated with active BWP</w:t>
      </w:r>
      <w:r w:rsidR="00F2534A">
        <w:t xml:space="preserve">. So basically only thing needed is to signal on which of the measurement objects UE would perform serving cell measurements. </w:t>
      </w:r>
    </w:p>
    <w:p w14:paraId="336F1180" w14:textId="50C65C0E" w:rsidR="00F2534A" w:rsidRDefault="00F2534A" w:rsidP="00D33E2F">
      <w:r>
        <w:rPr>
          <w:b/>
        </w:rPr>
        <w:t xml:space="preserve">Observation: </w:t>
      </w:r>
      <w:r>
        <w:t>To enable proposal</w:t>
      </w:r>
      <w:r w:rsidR="006663F1">
        <w:t xml:space="preserve"> </w:t>
      </w:r>
      <w:r>
        <w:t>1 one needs to indicate to UE on which MO serving cell measurements are to be done</w:t>
      </w:r>
    </w:p>
    <w:p w14:paraId="0210EAAE" w14:textId="7D8619D1" w:rsidR="0043015E" w:rsidRDefault="006663F1" w:rsidP="00D33E2F">
      <w:r>
        <w:t>so basically for example this could be done in following way:</w:t>
      </w:r>
    </w:p>
    <w:p w14:paraId="4116B131" w14:textId="2B15B624" w:rsidR="006663F1" w:rsidRDefault="006663F1" w:rsidP="006663F1">
      <w:pPr>
        <w:pStyle w:val="PL"/>
      </w:pPr>
      <w:r>
        <w:t xml:space="preserve">BandwidthPart ::= </w:t>
      </w:r>
      <w:r>
        <w:tab/>
      </w:r>
      <w:r>
        <w:tab/>
      </w:r>
      <w:r>
        <w:tab/>
      </w:r>
      <w:r>
        <w:tab/>
      </w:r>
      <w:r>
        <w:tab/>
      </w:r>
      <w:r w:rsidRPr="00760A6C">
        <w:rPr>
          <w:color w:val="993366"/>
        </w:rPr>
        <w:t>SEQUENCE</w:t>
      </w:r>
      <w:r>
        <w:t xml:space="preserve"> {</w:t>
      </w:r>
    </w:p>
    <w:p w14:paraId="7AF93D25" w14:textId="0EFB8AF7" w:rsidR="006663F1" w:rsidRDefault="006663F1" w:rsidP="006663F1">
      <w:pPr>
        <w:pStyle w:val="PL"/>
      </w:pPr>
      <w:r>
        <w:tab/>
      </w:r>
      <w:r w:rsidRPr="006663F1">
        <w:rPr>
          <w:color w:val="FF0000"/>
        </w:rPr>
        <w:t>servingCellMeasObject</w:t>
      </w:r>
      <w:r w:rsidRPr="006663F1">
        <w:rPr>
          <w:color w:val="FF0000"/>
        </w:rPr>
        <w:tab/>
      </w:r>
      <w:r w:rsidRPr="006663F1">
        <w:rPr>
          <w:color w:val="FF0000"/>
        </w:rPr>
        <w:tab/>
      </w:r>
      <w:r w:rsidRPr="006663F1">
        <w:rPr>
          <w:color w:val="FF0000"/>
        </w:rPr>
        <w:tab/>
      </w:r>
      <w:r w:rsidRPr="006663F1">
        <w:rPr>
          <w:color w:val="FF0000"/>
        </w:rPr>
        <w:tab/>
        <w:t xml:space="preserve">measObjectId, </w:t>
      </w:r>
    </w:p>
    <w:p w14:paraId="1E9871FB" w14:textId="77777777" w:rsidR="006663F1" w:rsidRDefault="006663F1" w:rsidP="006663F1">
      <w:pPr>
        <w:pStyle w:val="PL"/>
      </w:pPr>
    </w:p>
    <w:p w14:paraId="5959611B" w14:textId="77777777" w:rsidR="006663F1" w:rsidRPr="00B83655" w:rsidRDefault="006663F1" w:rsidP="006663F1">
      <w:pPr>
        <w:pStyle w:val="PL"/>
        <w:rPr>
          <w:color w:val="808080"/>
        </w:rPr>
      </w:pPr>
      <w:r>
        <w:tab/>
      </w:r>
      <w:r w:rsidRPr="00B83655">
        <w:rPr>
          <w:color w:val="808080"/>
        </w:rPr>
        <w:t xml:space="preserve">-- </w:t>
      </w:r>
      <w:r w:rsidRPr="00B83655">
        <w:rPr>
          <w:color w:val="808080"/>
          <w:highlight w:val="yellow"/>
        </w:rPr>
        <w:t>FFS: Conditions! What to do when certain fields or the entire bandwidth part is omitted? Assume parameters of the carrier instead</w:t>
      </w:r>
      <w:r w:rsidRPr="00B83655">
        <w:rPr>
          <w:color w:val="808080"/>
        </w:rPr>
        <w:t>?</w:t>
      </w:r>
    </w:p>
    <w:p w14:paraId="54EF281E" w14:textId="77777777" w:rsidR="006663F1" w:rsidRPr="00B83655" w:rsidRDefault="006663F1" w:rsidP="006663F1">
      <w:pPr>
        <w:pStyle w:val="PL"/>
        <w:rPr>
          <w:color w:val="808080"/>
          <w:highlight w:val="yellow"/>
        </w:rPr>
      </w:pPr>
      <w:r>
        <w:rPr>
          <w:color w:val="808080"/>
        </w:rPr>
        <w:tab/>
      </w:r>
      <w:r w:rsidRPr="00B83655">
        <w:rPr>
          <w:color w:val="808080"/>
        </w:rPr>
        <w:t xml:space="preserve">-- </w:t>
      </w:r>
      <w:r w:rsidRPr="00B83655">
        <w:rPr>
          <w:color w:val="808080"/>
          <w:highlight w:val="yellow"/>
        </w:rPr>
        <w:t>FFS: How can a BandiwdthPart be changed? Only via synchronousReconfiguration or also without?</w:t>
      </w:r>
    </w:p>
    <w:p w14:paraId="75E2E288" w14:textId="77777777" w:rsidR="006663F1" w:rsidRPr="00B83655" w:rsidRDefault="006663F1" w:rsidP="006663F1">
      <w:pPr>
        <w:pStyle w:val="PL"/>
        <w:rPr>
          <w:color w:val="808080"/>
          <w:highlight w:val="yellow"/>
        </w:rPr>
      </w:pPr>
      <w:r w:rsidRPr="004C3F76">
        <w:rPr>
          <w:color w:val="808080"/>
        </w:rPr>
        <w:tab/>
      </w:r>
      <w:r w:rsidRPr="00B83655">
        <w:rPr>
          <w:color w:val="808080"/>
        </w:rPr>
        <w:t xml:space="preserve">-- </w:t>
      </w:r>
      <w:r w:rsidRPr="00B83655">
        <w:rPr>
          <w:color w:val="808080"/>
          <w:highlight w:val="yellow"/>
        </w:rPr>
        <w:t>FFS: How to configure the defaultBWP?</w:t>
      </w:r>
    </w:p>
    <w:p w14:paraId="1C19813B" w14:textId="77777777" w:rsidR="006663F1" w:rsidRDefault="006663F1" w:rsidP="006663F1">
      <w:pPr>
        <w:pStyle w:val="PL"/>
      </w:pPr>
    </w:p>
    <w:p w14:paraId="197F77CC" w14:textId="77777777" w:rsidR="006663F1" w:rsidRDefault="006663F1" w:rsidP="006663F1">
      <w:pPr>
        <w:pStyle w:val="PL"/>
      </w:pPr>
      <w:r>
        <w:tab/>
        <w:t xml:space="preserve">downlink </w:t>
      </w:r>
      <w:r>
        <w:tab/>
      </w:r>
      <w:r>
        <w:tab/>
      </w:r>
      <w:r>
        <w:tab/>
      </w:r>
      <w:r>
        <w:tab/>
      </w:r>
      <w:r>
        <w:tab/>
      </w:r>
      <w:r>
        <w:tab/>
      </w:r>
      <w:r>
        <w:tab/>
        <w:t>DirectionalBandwidthPart</w:t>
      </w:r>
      <w:r>
        <w:tab/>
      </w:r>
      <w:r>
        <w:tab/>
      </w:r>
      <w:r>
        <w:tab/>
      </w:r>
      <w:r>
        <w:tab/>
      </w:r>
      <w:r>
        <w:tab/>
      </w:r>
      <w:r>
        <w:tab/>
      </w:r>
      <w:r>
        <w:tab/>
      </w:r>
      <w:r>
        <w:tab/>
      </w:r>
      <w:r>
        <w:tab/>
      </w:r>
      <w:r>
        <w:tab/>
      </w:r>
      <w:r w:rsidRPr="00760A6C">
        <w:rPr>
          <w:color w:val="993366"/>
        </w:rPr>
        <w:t>OPTIONAL</w:t>
      </w:r>
      <w:r>
        <w:t xml:space="preserve">, </w:t>
      </w:r>
    </w:p>
    <w:p w14:paraId="4A238BE6" w14:textId="77777777" w:rsidR="006663F1" w:rsidRPr="00682D57" w:rsidRDefault="006663F1" w:rsidP="006663F1">
      <w:pPr>
        <w:pStyle w:val="PL"/>
        <w:rPr>
          <w:color w:val="808080"/>
        </w:rPr>
      </w:pPr>
      <w:r>
        <w:tab/>
        <w:t xml:space="preserve">uplink </w:t>
      </w:r>
      <w:r>
        <w:tab/>
      </w:r>
      <w:r w:rsidRPr="00282872">
        <w:tab/>
      </w:r>
      <w:r w:rsidRPr="00282872">
        <w:tab/>
      </w:r>
      <w:r w:rsidRPr="00282872">
        <w:tab/>
      </w:r>
      <w:r w:rsidRPr="00282872">
        <w:tab/>
      </w:r>
      <w:r>
        <w:tab/>
      </w:r>
      <w:r w:rsidRPr="00282872">
        <w:tab/>
      </w:r>
      <w:r w:rsidRPr="00282872">
        <w:tab/>
      </w:r>
      <w:r>
        <w:t>Directional</w:t>
      </w:r>
      <w:r w:rsidRPr="00282872">
        <w:t>BandwidthPart</w:t>
      </w:r>
      <w:r w:rsidRPr="00282872">
        <w:tab/>
      </w:r>
      <w:r w:rsidRPr="00282872">
        <w:tab/>
      </w:r>
      <w:r w:rsidRPr="00282872">
        <w:tab/>
      </w:r>
      <w:r w:rsidRPr="00282872">
        <w:tab/>
      </w:r>
      <w:r w:rsidRPr="00282872">
        <w:tab/>
      </w:r>
      <w:r w:rsidRPr="00282872">
        <w:tab/>
      </w:r>
      <w:r w:rsidRPr="00282872">
        <w:tab/>
      </w:r>
      <w:r w:rsidRPr="00282872">
        <w:tab/>
      </w:r>
      <w:r w:rsidRPr="00282872">
        <w:tab/>
      </w:r>
      <w:r w:rsidRPr="00282872">
        <w:tab/>
      </w:r>
      <w:r w:rsidRPr="00760A6C">
        <w:rPr>
          <w:color w:val="993366"/>
        </w:rPr>
        <w:t>OPTIONAL</w:t>
      </w:r>
    </w:p>
    <w:p w14:paraId="50BAD8A3" w14:textId="77777777" w:rsidR="006663F1" w:rsidRDefault="006663F1" w:rsidP="006663F1">
      <w:pPr>
        <w:pStyle w:val="PL"/>
      </w:pPr>
      <w:r>
        <w:t>}</w:t>
      </w:r>
    </w:p>
    <w:p w14:paraId="1C995320" w14:textId="7B69ED2A" w:rsidR="006663F1" w:rsidRDefault="006663F1" w:rsidP="00D33E2F">
      <w:r>
        <w:t>This way even if the DCI command changes the BWP also always if desired by network it would be possible to enable doing serving cell measurements without measurement gaps.</w:t>
      </w:r>
    </w:p>
    <w:p w14:paraId="29BC6D14" w14:textId="5860CE61" w:rsidR="00FC1049" w:rsidRDefault="00FC1049" w:rsidP="00D33E2F">
      <w:r>
        <w:rPr>
          <w:b/>
        </w:rPr>
        <w:t xml:space="preserve">Proposal 2: </w:t>
      </w:r>
      <w:r>
        <w:t>Enable NW to configure which measurement object is used for serving cell measurement in BWP configuration</w:t>
      </w:r>
    </w:p>
    <w:p w14:paraId="43A12B72" w14:textId="675560F9" w:rsidR="00CD4C7B" w:rsidRPr="006A234F" w:rsidRDefault="00C42F45" w:rsidP="00CD4C7B">
      <w:pPr>
        <w:pStyle w:val="Heading1"/>
      </w:pPr>
      <w:r w:rsidRPr="006A234F">
        <w:t>3</w:t>
      </w:r>
      <w:r w:rsidR="00CD4C7B" w:rsidRPr="006A234F">
        <w:tab/>
      </w:r>
      <w:r w:rsidR="00C56864" w:rsidRPr="006A234F">
        <w:t>Conclusion</w:t>
      </w:r>
    </w:p>
    <w:p w14:paraId="190C81D1" w14:textId="5EE53DA9" w:rsidR="00DB6737" w:rsidRDefault="00C42F45" w:rsidP="00DB6737">
      <w:r w:rsidRPr="006A234F">
        <w:t xml:space="preserve">In </w:t>
      </w:r>
      <w:r w:rsidR="00DB6737" w:rsidRPr="006A234F">
        <w:t xml:space="preserve">this paper we discussed serving cell measurements to be done always on CD-SSB and concluded that this limits use cases and effectiviness of BWP significantly, thus we propose: </w:t>
      </w:r>
    </w:p>
    <w:p w14:paraId="62A99FC2" w14:textId="77777777" w:rsidR="0094024D" w:rsidRDefault="0094024D" w:rsidP="0094024D">
      <w:r>
        <w:rPr>
          <w:b/>
        </w:rPr>
        <w:t xml:space="preserve">Proposal 1: </w:t>
      </w:r>
      <w:r>
        <w:t>Enable serving cell measurements to be done on reference symbols collocated with active BWP</w:t>
      </w:r>
    </w:p>
    <w:p w14:paraId="46A6A320" w14:textId="77777777" w:rsidR="0094024D" w:rsidRDefault="0094024D" w:rsidP="0094024D">
      <w:r>
        <w:rPr>
          <w:b/>
        </w:rPr>
        <w:t xml:space="preserve">Proposal 2: </w:t>
      </w:r>
      <w:r>
        <w:t>Enable NW to configure which measurement object is used for serving cell measurement in BWP configuration</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4413A" w14:textId="77777777" w:rsidR="008C253D" w:rsidRDefault="008C253D">
      <w:r>
        <w:separator/>
      </w:r>
    </w:p>
  </w:endnote>
  <w:endnote w:type="continuationSeparator" w:id="0">
    <w:p w14:paraId="70526F43" w14:textId="77777777" w:rsidR="008C253D" w:rsidRDefault="008C2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18A93" w14:textId="77777777" w:rsidR="008C253D" w:rsidRDefault="008C253D">
      <w:r>
        <w:separator/>
      </w:r>
    </w:p>
  </w:footnote>
  <w:footnote w:type="continuationSeparator" w:id="0">
    <w:p w14:paraId="2D9FAF93" w14:textId="77777777" w:rsidR="008C253D" w:rsidRDefault="008C2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4B1"/>
    <w:multiLevelType w:val="hybridMultilevel"/>
    <w:tmpl w:val="32FA082E"/>
    <w:lvl w:ilvl="0" w:tplc="AD3E9824">
      <w:start w:val="2"/>
      <w:numFmt w:val="bullet"/>
      <w:lvlText w:val="-"/>
      <w:lvlJc w:val="left"/>
      <w:pPr>
        <w:ind w:left="720" w:hanging="360"/>
      </w:pPr>
      <w:rPr>
        <w:rFonts w:ascii="Calibri" w:eastAsia="Times New Roman" w:hAnsi="Calibri" w:cs="Times New Roman"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F">
      <w:start w:val="1"/>
      <w:numFmt w:val="decimal"/>
      <w:lvlText w:val="%5."/>
      <w:lvlJc w:val="left"/>
      <w:pPr>
        <w:ind w:left="3600" w:hanging="360"/>
      </w:pPr>
      <w:rPr>
        <w:rFonts w:cs="Times New Roman"/>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FC11B5D"/>
    <w:multiLevelType w:val="hybridMultilevel"/>
    <w:tmpl w:val="3A1CD08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FD22BFC"/>
    <w:multiLevelType w:val="hybridMultilevel"/>
    <w:tmpl w:val="819478F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C556DEB"/>
    <w:multiLevelType w:val="hybridMultilevel"/>
    <w:tmpl w:val="B2945D8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E203656"/>
    <w:multiLevelType w:val="hybridMultilevel"/>
    <w:tmpl w:val="DF28B914"/>
    <w:lvl w:ilvl="0" w:tplc="E672617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EC039FE"/>
    <w:multiLevelType w:val="hybridMultilevel"/>
    <w:tmpl w:val="6744149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1B5981"/>
    <w:multiLevelType w:val="hybridMultilevel"/>
    <w:tmpl w:val="F5C06560"/>
    <w:lvl w:ilvl="0" w:tplc="0A48CB1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lvlOverride w:ilvl="0"/>
    <w:lvlOverride w:ilvl="1"/>
    <w:lvlOverride w:ilvl="2"/>
    <w:lvlOverride w:ilvl="3"/>
    <w:lvlOverride w:ilvl="4">
      <w:startOverride w:val="1"/>
    </w:lvlOverride>
    <w:lvlOverride w:ilvl="5"/>
    <w:lvlOverride w:ilvl="6"/>
    <w:lvlOverride w:ilvl="7"/>
    <w:lvlOverride w:ilvl="8"/>
  </w:num>
  <w:num w:numId="6">
    <w:abstractNumId w:val="3"/>
  </w:num>
  <w:num w:numId="7">
    <w:abstractNumId w:val="7"/>
  </w:num>
  <w:num w:numId="8">
    <w:abstractNumId w:val="4"/>
  </w:num>
  <w:num w:numId="9">
    <w:abstractNumId w:val="5"/>
  </w:num>
  <w:num w:numId="10">
    <w:abstractNumId w:val="9"/>
  </w:num>
  <w:num w:numId="11">
    <w:abstractNumId w:val="6"/>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EB"/>
    <w:rsid w:val="000139DD"/>
    <w:rsid w:val="0002594E"/>
    <w:rsid w:val="000275E2"/>
    <w:rsid w:val="00033397"/>
    <w:rsid w:val="00033654"/>
    <w:rsid w:val="00040095"/>
    <w:rsid w:val="0004680E"/>
    <w:rsid w:val="00062E40"/>
    <w:rsid w:val="00070739"/>
    <w:rsid w:val="00080512"/>
    <w:rsid w:val="00090468"/>
    <w:rsid w:val="000A3693"/>
    <w:rsid w:val="000B5F8C"/>
    <w:rsid w:val="000B7BCF"/>
    <w:rsid w:val="000C3935"/>
    <w:rsid w:val="000C522B"/>
    <w:rsid w:val="000D58AB"/>
    <w:rsid w:val="000E6336"/>
    <w:rsid w:val="00100195"/>
    <w:rsid w:val="0010612A"/>
    <w:rsid w:val="00107C1F"/>
    <w:rsid w:val="00112F1A"/>
    <w:rsid w:val="00145075"/>
    <w:rsid w:val="00154E10"/>
    <w:rsid w:val="00160548"/>
    <w:rsid w:val="001741A0"/>
    <w:rsid w:val="00175FA0"/>
    <w:rsid w:val="00177949"/>
    <w:rsid w:val="00180ECC"/>
    <w:rsid w:val="00191A57"/>
    <w:rsid w:val="00194CD0"/>
    <w:rsid w:val="001A2E39"/>
    <w:rsid w:val="001A6D16"/>
    <w:rsid w:val="001B1CF5"/>
    <w:rsid w:val="001B49C9"/>
    <w:rsid w:val="001B7778"/>
    <w:rsid w:val="001B7A0B"/>
    <w:rsid w:val="001C4F79"/>
    <w:rsid w:val="001E5327"/>
    <w:rsid w:val="001F13B8"/>
    <w:rsid w:val="001F168B"/>
    <w:rsid w:val="001F7831"/>
    <w:rsid w:val="00204045"/>
    <w:rsid w:val="00206E91"/>
    <w:rsid w:val="0020712B"/>
    <w:rsid w:val="00215D07"/>
    <w:rsid w:val="0021727D"/>
    <w:rsid w:val="0022606D"/>
    <w:rsid w:val="00235919"/>
    <w:rsid w:val="00236636"/>
    <w:rsid w:val="0024248B"/>
    <w:rsid w:val="00256F83"/>
    <w:rsid w:val="002747EC"/>
    <w:rsid w:val="002855BF"/>
    <w:rsid w:val="00297CC0"/>
    <w:rsid w:val="002B774D"/>
    <w:rsid w:val="002C7696"/>
    <w:rsid w:val="002E565F"/>
    <w:rsid w:val="002E7837"/>
    <w:rsid w:val="002F0D22"/>
    <w:rsid w:val="002F5E2D"/>
    <w:rsid w:val="002F6060"/>
    <w:rsid w:val="002F7C62"/>
    <w:rsid w:val="00300A48"/>
    <w:rsid w:val="0030274E"/>
    <w:rsid w:val="003172DC"/>
    <w:rsid w:val="00321835"/>
    <w:rsid w:val="00325AE3"/>
    <w:rsid w:val="00326069"/>
    <w:rsid w:val="003417BA"/>
    <w:rsid w:val="00344BCB"/>
    <w:rsid w:val="00350C5E"/>
    <w:rsid w:val="00352261"/>
    <w:rsid w:val="0035462D"/>
    <w:rsid w:val="00365407"/>
    <w:rsid w:val="00381FF6"/>
    <w:rsid w:val="003B1B5C"/>
    <w:rsid w:val="003B40AD"/>
    <w:rsid w:val="003C4E37"/>
    <w:rsid w:val="003D3758"/>
    <w:rsid w:val="003E16BE"/>
    <w:rsid w:val="004006E8"/>
    <w:rsid w:val="00401855"/>
    <w:rsid w:val="0040414E"/>
    <w:rsid w:val="0041317A"/>
    <w:rsid w:val="00413DBD"/>
    <w:rsid w:val="00420174"/>
    <w:rsid w:val="00426D21"/>
    <w:rsid w:val="0043015E"/>
    <w:rsid w:val="00432FD1"/>
    <w:rsid w:val="00433CCD"/>
    <w:rsid w:val="004459F9"/>
    <w:rsid w:val="00453374"/>
    <w:rsid w:val="00455C65"/>
    <w:rsid w:val="00467EDF"/>
    <w:rsid w:val="00476A9E"/>
    <w:rsid w:val="00477455"/>
    <w:rsid w:val="004777F8"/>
    <w:rsid w:val="004814C9"/>
    <w:rsid w:val="0049248A"/>
    <w:rsid w:val="00495017"/>
    <w:rsid w:val="004B3C27"/>
    <w:rsid w:val="004B533C"/>
    <w:rsid w:val="004B61FE"/>
    <w:rsid w:val="004C44D2"/>
    <w:rsid w:val="004D3578"/>
    <w:rsid w:val="004D380D"/>
    <w:rsid w:val="004D6A58"/>
    <w:rsid w:val="004E213A"/>
    <w:rsid w:val="004E270D"/>
    <w:rsid w:val="004E3ECC"/>
    <w:rsid w:val="004F5A43"/>
    <w:rsid w:val="004F6FA3"/>
    <w:rsid w:val="00503171"/>
    <w:rsid w:val="00506C28"/>
    <w:rsid w:val="005134F9"/>
    <w:rsid w:val="005323FD"/>
    <w:rsid w:val="00534DA0"/>
    <w:rsid w:val="00543E6C"/>
    <w:rsid w:val="0055778D"/>
    <w:rsid w:val="00565087"/>
    <w:rsid w:val="0056573F"/>
    <w:rsid w:val="005A5F0D"/>
    <w:rsid w:val="005D4EFF"/>
    <w:rsid w:val="005D64CD"/>
    <w:rsid w:val="005E3B24"/>
    <w:rsid w:val="005F12AE"/>
    <w:rsid w:val="005F7522"/>
    <w:rsid w:val="00611566"/>
    <w:rsid w:val="00627C47"/>
    <w:rsid w:val="0063015B"/>
    <w:rsid w:val="0063631A"/>
    <w:rsid w:val="00643CC9"/>
    <w:rsid w:val="00646D99"/>
    <w:rsid w:val="0064796E"/>
    <w:rsid w:val="00656910"/>
    <w:rsid w:val="00657465"/>
    <w:rsid w:val="006663F1"/>
    <w:rsid w:val="006A234F"/>
    <w:rsid w:val="006A4B5C"/>
    <w:rsid w:val="006A727F"/>
    <w:rsid w:val="006B0DA9"/>
    <w:rsid w:val="006B7912"/>
    <w:rsid w:val="006C1532"/>
    <w:rsid w:val="006C66D8"/>
    <w:rsid w:val="006D1E24"/>
    <w:rsid w:val="006D4112"/>
    <w:rsid w:val="006E1417"/>
    <w:rsid w:val="006F29E9"/>
    <w:rsid w:val="006F6A2C"/>
    <w:rsid w:val="00710201"/>
    <w:rsid w:val="00725793"/>
    <w:rsid w:val="007342B5"/>
    <w:rsid w:val="00734A5B"/>
    <w:rsid w:val="0073729B"/>
    <w:rsid w:val="00744E76"/>
    <w:rsid w:val="00757D40"/>
    <w:rsid w:val="00781F0F"/>
    <w:rsid w:val="0078200E"/>
    <w:rsid w:val="00783321"/>
    <w:rsid w:val="0078727C"/>
    <w:rsid w:val="0079049D"/>
    <w:rsid w:val="007B00B7"/>
    <w:rsid w:val="007B18D8"/>
    <w:rsid w:val="007C095F"/>
    <w:rsid w:val="007D2C39"/>
    <w:rsid w:val="0080235A"/>
    <w:rsid w:val="008028A4"/>
    <w:rsid w:val="00802F5B"/>
    <w:rsid w:val="00810836"/>
    <w:rsid w:val="00813245"/>
    <w:rsid w:val="00816E08"/>
    <w:rsid w:val="00831C33"/>
    <w:rsid w:val="00846658"/>
    <w:rsid w:val="00865013"/>
    <w:rsid w:val="00865034"/>
    <w:rsid w:val="008768CA"/>
    <w:rsid w:val="008773B5"/>
    <w:rsid w:val="00877EF9"/>
    <w:rsid w:val="00880559"/>
    <w:rsid w:val="00882C30"/>
    <w:rsid w:val="00886F92"/>
    <w:rsid w:val="008940D4"/>
    <w:rsid w:val="00895E28"/>
    <w:rsid w:val="008A4D47"/>
    <w:rsid w:val="008B5306"/>
    <w:rsid w:val="008C253D"/>
    <w:rsid w:val="008F23A7"/>
    <w:rsid w:val="008F2DED"/>
    <w:rsid w:val="00900E0B"/>
    <w:rsid w:val="0090271F"/>
    <w:rsid w:val="00902DB9"/>
    <w:rsid w:val="0090466A"/>
    <w:rsid w:val="0090625E"/>
    <w:rsid w:val="00930623"/>
    <w:rsid w:val="00936071"/>
    <w:rsid w:val="00940212"/>
    <w:rsid w:val="0094024D"/>
    <w:rsid w:val="00941223"/>
    <w:rsid w:val="00942EC2"/>
    <w:rsid w:val="00961B32"/>
    <w:rsid w:val="009670FC"/>
    <w:rsid w:val="00970DB3"/>
    <w:rsid w:val="00974BB0"/>
    <w:rsid w:val="00986ED5"/>
    <w:rsid w:val="009A0AF3"/>
    <w:rsid w:val="009B07CD"/>
    <w:rsid w:val="009C19E9"/>
    <w:rsid w:val="009D41C0"/>
    <w:rsid w:val="009D5D3D"/>
    <w:rsid w:val="009D74A6"/>
    <w:rsid w:val="009F2DF3"/>
    <w:rsid w:val="00A02FB4"/>
    <w:rsid w:val="00A0695B"/>
    <w:rsid w:val="00A10F02"/>
    <w:rsid w:val="00A12FAB"/>
    <w:rsid w:val="00A204CA"/>
    <w:rsid w:val="00A22486"/>
    <w:rsid w:val="00A2519D"/>
    <w:rsid w:val="00A32887"/>
    <w:rsid w:val="00A53724"/>
    <w:rsid w:val="00A577E8"/>
    <w:rsid w:val="00A60E8F"/>
    <w:rsid w:val="00A70EAE"/>
    <w:rsid w:val="00A728F8"/>
    <w:rsid w:val="00A82346"/>
    <w:rsid w:val="00A93172"/>
    <w:rsid w:val="00A9671C"/>
    <w:rsid w:val="00AA1553"/>
    <w:rsid w:val="00AD5060"/>
    <w:rsid w:val="00AE272F"/>
    <w:rsid w:val="00AE6722"/>
    <w:rsid w:val="00B15449"/>
    <w:rsid w:val="00B20202"/>
    <w:rsid w:val="00B2792F"/>
    <w:rsid w:val="00B333C6"/>
    <w:rsid w:val="00B4517F"/>
    <w:rsid w:val="00B47FD1"/>
    <w:rsid w:val="00B50A83"/>
    <w:rsid w:val="00B516BB"/>
    <w:rsid w:val="00B731C0"/>
    <w:rsid w:val="00B81686"/>
    <w:rsid w:val="00B86285"/>
    <w:rsid w:val="00B8630A"/>
    <w:rsid w:val="00B91B89"/>
    <w:rsid w:val="00B972BB"/>
    <w:rsid w:val="00BA09F8"/>
    <w:rsid w:val="00BA5034"/>
    <w:rsid w:val="00BA6DFF"/>
    <w:rsid w:val="00BB3882"/>
    <w:rsid w:val="00BC3172"/>
    <w:rsid w:val="00BE0430"/>
    <w:rsid w:val="00BF09E7"/>
    <w:rsid w:val="00BF4F8B"/>
    <w:rsid w:val="00C03062"/>
    <w:rsid w:val="00C07FC2"/>
    <w:rsid w:val="00C12B51"/>
    <w:rsid w:val="00C1668B"/>
    <w:rsid w:val="00C178BF"/>
    <w:rsid w:val="00C24650"/>
    <w:rsid w:val="00C26C5C"/>
    <w:rsid w:val="00C33079"/>
    <w:rsid w:val="00C42F45"/>
    <w:rsid w:val="00C56864"/>
    <w:rsid w:val="00C57EB1"/>
    <w:rsid w:val="00C60595"/>
    <w:rsid w:val="00C720BF"/>
    <w:rsid w:val="00C83A13"/>
    <w:rsid w:val="00C9068C"/>
    <w:rsid w:val="00C92967"/>
    <w:rsid w:val="00CA3D0C"/>
    <w:rsid w:val="00CA654B"/>
    <w:rsid w:val="00CB26C4"/>
    <w:rsid w:val="00CD240A"/>
    <w:rsid w:val="00CD4C7B"/>
    <w:rsid w:val="00D01B8A"/>
    <w:rsid w:val="00D31E01"/>
    <w:rsid w:val="00D33E2F"/>
    <w:rsid w:val="00D360FA"/>
    <w:rsid w:val="00D511BF"/>
    <w:rsid w:val="00D738D6"/>
    <w:rsid w:val="00D77B6F"/>
    <w:rsid w:val="00D80795"/>
    <w:rsid w:val="00D854BE"/>
    <w:rsid w:val="00D87E00"/>
    <w:rsid w:val="00D9134D"/>
    <w:rsid w:val="00D96D11"/>
    <w:rsid w:val="00DA7A03"/>
    <w:rsid w:val="00DB1818"/>
    <w:rsid w:val="00DB5F59"/>
    <w:rsid w:val="00DB6737"/>
    <w:rsid w:val="00DC2802"/>
    <w:rsid w:val="00DC309B"/>
    <w:rsid w:val="00DC4DA2"/>
    <w:rsid w:val="00DD5A89"/>
    <w:rsid w:val="00DD600E"/>
    <w:rsid w:val="00DE2299"/>
    <w:rsid w:val="00DE4456"/>
    <w:rsid w:val="00DE66B3"/>
    <w:rsid w:val="00DF6B05"/>
    <w:rsid w:val="00E159C6"/>
    <w:rsid w:val="00E17DF2"/>
    <w:rsid w:val="00E26920"/>
    <w:rsid w:val="00E42E2F"/>
    <w:rsid w:val="00E44736"/>
    <w:rsid w:val="00E4630E"/>
    <w:rsid w:val="00E61CCE"/>
    <w:rsid w:val="00E62835"/>
    <w:rsid w:val="00E71ED0"/>
    <w:rsid w:val="00E77645"/>
    <w:rsid w:val="00E83220"/>
    <w:rsid w:val="00E83697"/>
    <w:rsid w:val="00EB42B9"/>
    <w:rsid w:val="00EB7B0D"/>
    <w:rsid w:val="00EC2E20"/>
    <w:rsid w:val="00EC4A25"/>
    <w:rsid w:val="00ED0588"/>
    <w:rsid w:val="00EE63DF"/>
    <w:rsid w:val="00F0121C"/>
    <w:rsid w:val="00F025A2"/>
    <w:rsid w:val="00F07388"/>
    <w:rsid w:val="00F2026E"/>
    <w:rsid w:val="00F2210A"/>
    <w:rsid w:val="00F2534A"/>
    <w:rsid w:val="00F3067C"/>
    <w:rsid w:val="00F37743"/>
    <w:rsid w:val="00F54A3D"/>
    <w:rsid w:val="00F54CB0"/>
    <w:rsid w:val="00F653B8"/>
    <w:rsid w:val="00F71B89"/>
    <w:rsid w:val="00F7353C"/>
    <w:rsid w:val="00F76406"/>
    <w:rsid w:val="00F76F8F"/>
    <w:rsid w:val="00F84ECA"/>
    <w:rsid w:val="00F95180"/>
    <w:rsid w:val="00FA1266"/>
    <w:rsid w:val="00FA479D"/>
    <w:rsid w:val="00FA578F"/>
    <w:rsid w:val="00FA5B8F"/>
    <w:rsid w:val="00FB36FA"/>
    <w:rsid w:val="00FB5313"/>
    <w:rsid w:val="00FC1049"/>
    <w:rsid w:val="00FC1192"/>
    <w:rsid w:val="00FE3AE0"/>
    <w:rsid w:val="00FE7C90"/>
    <w:rsid w:val="00FF6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4630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630E"/>
    <w:rPr>
      <w:rFonts w:ascii="Arial" w:eastAsia="MS Mincho" w:hAnsi="Arial"/>
      <w:szCs w:val="24"/>
    </w:rPr>
  </w:style>
  <w:style w:type="paragraph" w:styleId="ListParagraph">
    <w:name w:val="List Paragraph"/>
    <w:basedOn w:val="Normal"/>
    <w:uiPriority w:val="34"/>
    <w:qFormat/>
    <w:rsid w:val="00FB5313"/>
    <w:pPr>
      <w:ind w:left="720"/>
      <w:contextualSpacing/>
    </w:pPr>
  </w:style>
  <w:style w:type="character" w:styleId="CommentReference">
    <w:name w:val="annotation reference"/>
    <w:basedOn w:val="DefaultParagraphFont"/>
    <w:rsid w:val="005E3B24"/>
    <w:rPr>
      <w:sz w:val="16"/>
      <w:szCs w:val="16"/>
    </w:rPr>
  </w:style>
  <w:style w:type="paragraph" w:styleId="CommentText">
    <w:name w:val="annotation text"/>
    <w:basedOn w:val="Normal"/>
    <w:link w:val="CommentTextChar"/>
    <w:rsid w:val="005E3B24"/>
  </w:style>
  <w:style w:type="character" w:customStyle="1" w:styleId="CommentTextChar">
    <w:name w:val="Comment Text Char"/>
    <w:basedOn w:val="DefaultParagraphFont"/>
    <w:link w:val="CommentText"/>
    <w:rsid w:val="005E3B24"/>
    <w:rPr>
      <w:lang w:eastAsia="en-US"/>
    </w:rPr>
  </w:style>
  <w:style w:type="paragraph" w:styleId="CommentSubject">
    <w:name w:val="annotation subject"/>
    <w:basedOn w:val="CommentText"/>
    <w:next w:val="CommentText"/>
    <w:link w:val="CommentSubjectChar"/>
    <w:rsid w:val="005E3B24"/>
    <w:rPr>
      <w:b/>
      <w:bCs/>
    </w:rPr>
  </w:style>
  <w:style w:type="character" w:customStyle="1" w:styleId="CommentSubjectChar">
    <w:name w:val="Comment Subject Char"/>
    <w:basedOn w:val="CommentTextChar"/>
    <w:link w:val="CommentSubject"/>
    <w:rsid w:val="005E3B24"/>
    <w:rPr>
      <w:b/>
      <w:bCs/>
      <w:lang w:eastAsia="en-US"/>
    </w:rPr>
  </w:style>
  <w:style w:type="paragraph" w:styleId="BalloonText">
    <w:name w:val="Balloon Text"/>
    <w:basedOn w:val="Normal"/>
    <w:link w:val="BalloonTextChar"/>
    <w:rsid w:val="005E3B24"/>
    <w:pPr>
      <w:spacing w:after="0"/>
    </w:pPr>
    <w:rPr>
      <w:rFonts w:ascii="Segoe UI" w:hAnsi="Segoe UI" w:cs="Segoe UI"/>
      <w:sz w:val="18"/>
      <w:szCs w:val="18"/>
    </w:rPr>
  </w:style>
  <w:style w:type="character" w:customStyle="1" w:styleId="BalloonTextChar">
    <w:name w:val="Balloon Text Char"/>
    <w:basedOn w:val="DefaultParagraphFont"/>
    <w:link w:val="BalloonText"/>
    <w:rsid w:val="005E3B24"/>
    <w:rPr>
      <w:rFonts w:ascii="Segoe UI" w:hAnsi="Segoe UI" w:cs="Segoe UI"/>
      <w:sz w:val="18"/>
      <w:szCs w:val="18"/>
      <w:lang w:eastAsia="en-US"/>
    </w:rPr>
  </w:style>
  <w:style w:type="character" w:customStyle="1" w:styleId="B1Char1">
    <w:name w:val="B1 Char1"/>
    <w:link w:val="B1"/>
    <w:qFormat/>
    <w:rsid w:val="00F84ECA"/>
    <w:rPr>
      <w:lang w:eastAsia="en-US"/>
    </w:rPr>
  </w:style>
  <w:style w:type="table" w:styleId="TableGrid">
    <w:name w:val="Table Grid"/>
    <w:basedOn w:val="TableNormal"/>
    <w:rsid w:val="003654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6663F1"/>
    <w:rPr>
      <w:rFonts w:ascii="Courier New" w:hAnsi="Courier New"/>
      <w:noProof/>
      <w:sz w:val="16"/>
      <w:lang w:eastAsia="en-US"/>
    </w:rPr>
  </w:style>
  <w:style w:type="paragraph" w:customStyle="1" w:styleId="RAN1text">
    <w:name w:val="RAN1 text"/>
    <w:basedOn w:val="BodyText"/>
    <w:link w:val="RAN1textChar"/>
    <w:qFormat/>
    <w:rsid w:val="00F95180"/>
    <w:pPr>
      <w:spacing w:after="0"/>
      <w:jc w:val="both"/>
    </w:pPr>
    <w:rPr>
      <w:rFonts w:eastAsia="MS Mincho"/>
      <w:szCs w:val="24"/>
      <w:lang w:val="x-none" w:eastAsia="x-none"/>
    </w:rPr>
  </w:style>
  <w:style w:type="character" w:customStyle="1" w:styleId="RAN1textChar">
    <w:name w:val="RAN1 text Char"/>
    <w:link w:val="RAN1text"/>
    <w:rsid w:val="00F95180"/>
    <w:rPr>
      <w:rFonts w:eastAsia="MS Mincho"/>
      <w:szCs w:val="24"/>
      <w:lang w:val="x-none" w:eastAsia="x-none"/>
    </w:rPr>
  </w:style>
  <w:style w:type="paragraph" w:styleId="BodyText">
    <w:name w:val="Body Text"/>
    <w:basedOn w:val="Normal"/>
    <w:link w:val="BodyTextChar"/>
    <w:rsid w:val="00F95180"/>
    <w:pPr>
      <w:spacing w:after="120"/>
    </w:pPr>
  </w:style>
  <w:style w:type="character" w:customStyle="1" w:styleId="BodyTextChar">
    <w:name w:val="Body Text Char"/>
    <w:basedOn w:val="DefaultParagraphFont"/>
    <w:link w:val="BodyText"/>
    <w:rsid w:val="00F951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0982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5AIRPNAIUNRU-859666464-996</_dlc_DocId>
    <_dlc_DocIdUrl xmlns="71c5aaf6-e6ce-465b-b873-5148d2a4c105">
      <Url>https://nokia.sharepoint.com/sites/c5g/e2earch/_layouts/15/DocIdRedir.aspx?ID=5AIRPNAIUNRU-859666464-996</Url>
      <Description>5AIRPNAIUNRU-859666464-996</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482FEB41-8DA3-430B-8FCD-8C7217E08633}">
  <ds:schemaRefs>
    <ds:schemaRef ds:uri="http://schemas.microsoft.com/sharepoint/v3/contenttype/forms"/>
  </ds:schemaRefs>
</ds:datastoreItem>
</file>

<file path=customXml/itemProps2.xml><?xml version="1.0" encoding="utf-8"?>
<ds:datastoreItem xmlns:ds="http://schemas.openxmlformats.org/officeDocument/2006/customXml" ds:itemID="{2B9B6CCC-0D19-4A6D-A31A-432438C264F0}">
  <ds:schemaRefs>
    <ds:schemaRef ds:uri="http://schemas.microsoft.com/sharepoint/events"/>
  </ds:schemaRefs>
</ds:datastoreItem>
</file>

<file path=customXml/itemProps3.xml><?xml version="1.0" encoding="utf-8"?>
<ds:datastoreItem xmlns:ds="http://schemas.openxmlformats.org/officeDocument/2006/customXml" ds:itemID="{63A00977-FF82-477D-9AE6-81B84B20E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7F22F-DAFB-47AA-ABC1-B668453C2006}">
  <ds:schemaRefs>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83f22d2f-d16e-4be6-ad4f-29fa0b067c3c"/>
    <ds:schemaRef ds:uri="http://schemas.microsoft.com/office/2006/metadata/properties"/>
    <ds:schemaRef ds:uri="3b34c8f0-1ef5-4d1e-bb66-517ce7fe7356"/>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1564</Words>
  <Characters>12669</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2017-11-17T05:34:00Z</dcterms:created>
  <dcterms:modified xsi:type="dcterms:W3CDTF">2017-11-17T05:34:00Z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8c00f8dd-6ec3-48b1-b4ed-ee70d4bc4db5</vt:lpwstr>
  </property>
</Properties>
</file>